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0FDB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A969C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241527">
        <w:rPr>
          <w:rFonts w:ascii="Times New Roman" w:hAnsi="Times New Roman"/>
          <w:sz w:val="28"/>
          <w:szCs w:val="24"/>
        </w:rPr>
        <w:t>«</w:t>
      </w:r>
      <w:r w:rsidR="00241527" w:rsidRPr="00241527">
        <w:rPr>
          <w:rFonts w:ascii="Times New Roman" w:hAnsi="Times New Roman"/>
          <w:sz w:val="28"/>
          <w:szCs w:val="24"/>
        </w:rPr>
        <w:t>02</w:t>
      </w:r>
      <w:r w:rsidRPr="00241527">
        <w:rPr>
          <w:rFonts w:ascii="Times New Roman" w:hAnsi="Times New Roman"/>
          <w:sz w:val="28"/>
          <w:szCs w:val="24"/>
        </w:rPr>
        <w:t>»</w:t>
      </w:r>
      <w:r w:rsidR="00241527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="00241527" w:rsidRPr="00241527">
        <w:rPr>
          <w:rFonts w:ascii="Times New Roman" w:hAnsi="Times New Roman"/>
          <w:sz w:val="28"/>
          <w:szCs w:val="24"/>
        </w:rPr>
        <w:t xml:space="preserve">декабря </w:t>
      </w:r>
      <w:r w:rsidRPr="00241527">
        <w:rPr>
          <w:rFonts w:ascii="Times New Roman" w:hAnsi="Times New Roman"/>
          <w:sz w:val="28"/>
          <w:szCs w:val="24"/>
        </w:rPr>
        <w:t>20</w:t>
      </w:r>
      <w:r w:rsidR="00C67717" w:rsidRPr="00241527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Pr="005C27A1">
        <w:rPr>
          <w:rFonts w:ascii="Times New Roman" w:hAnsi="Times New Roman"/>
          <w:sz w:val="28"/>
          <w:szCs w:val="24"/>
        </w:rPr>
        <w:t xml:space="preserve"> № </w:t>
      </w:r>
      <w:r w:rsidR="00241527">
        <w:rPr>
          <w:rFonts w:ascii="Times New Roman" w:hAnsi="Times New Roman"/>
          <w:sz w:val="28"/>
          <w:szCs w:val="24"/>
        </w:rPr>
        <w:t>73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59B"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муниципальном контроле в сфере благоустройства на территории Железнодорожного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>», утвержденное Р</w:t>
      </w:r>
      <w:r w:rsidRPr="00AA459B">
        <w:rPr>
          <w:rFonts w:ascii="Times New Roman" w:hAnsi="Times New Roman"/>
          <w:b/>
          <w:sz w:val="28"/>
          <w:szCs w:val="28"/>
        </w:rPr>
        <w:t>ешением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59B">
        <w:rPr>
          <w:rFonts w:ascii="Times New Roman" w:hAnsi="Times New Roman"/>
          <w:b/>
          <w:sz w:val="28"/>
          <w:szCs w:val="28"/>
        </w:rPr>
        <w:t>депутатов Железнодорожного внутригородского района городского округа Самара от 28 сентября 2021 № 60</w:t>
      </w: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459B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AA459B">
        <w:rPr>
          <w:rFonts w:ascii="Times New Roman" w:hAnsi="Times New Roman"/>
          <w:color w:val="000000"/>
          <w:sz w:val="28"/>
          <w:szCs w:val="28"/>
        </w:rPr>
        <w:t>изменений в Положение «</w:t>
      </w:r>
      <w:r w:rsidRPr="00AA459B">
        <w:rPr>
          <w:rFonts w:ascii="Times New Roman" w:hAnsi="Times New Roman"/>
          <w:sz w:val="28"/>
          <w:szCs w:val="28"/>
        </w:rPr>
        <w:t>О муниципальном контроле в сфере благоустройства на территории Железнодорожного внутригородского района городского округа Самара</w:t>
      </w:r>
      <w:r>
        <w:rPr>
          <w:rFonts w:ascii="Times New Roman" w:hAnsi="Times New Roman"/>
          <w:color w:val="000000"/>
          <w:sz w:val="28"/>
          <w:szCs w:val="28"/>
        </w:rPr>
        <w:t>», утвержденное Р</w:t>
      </w:r>
      <w:r w:rsidRPr="00AA459B">
        <w:rPr>
          <w:rFonts w:ascii="Times New Roman" w:hAnsi="Times New Roman"/>
          <w:color w:val="000000"/>
          <w:sz w:val="28"/>
          <w:szCs w:val="28"/>
        </w:rPr>
        <w:t xml:space="preserve">ешением Совета депутатов Железнодорожного внутригородского района городского округа Самара от 28.09.2021 № 60,                  в соответствии с Федеральным законом от 31 июля 2020 № 248-ФЗ «О государственном контроле (надзоре) и муниципальном контроле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59B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Положение </w:t>
      </w:r>
      <w:r w:rsidRPr="00AA459B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муниципальном контроле в сфере благоустройства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60</w:t>
      </w: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Положение), следующие изменения: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A459B" w:rsidRPr="00AA459B" w:rsidRDefault="00AA459B" w:rsidP="00AA459B">
      <w:pPr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ind w:left="0" w:firstLine="7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   Пункт 3.3.2 раздела 3 Положения изложить в следующей редакции: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«3.3.2. Информация о местонахождении уполномоченного органа 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AA459B">
        <w:rPr>
          <w:rFonts w:ascii="Times New Roman" w:hAnsi="Times New Roman"/>
          <w:color w:val="000000"/>
          <w:sz w:val="28"/>
          <w:szCs w:val="28"/>
          <w:lang w:eastAsia="ru-RU"/>
        </w:rPr>
        <w:t>Железнодорожного</w:t>
      </w:r>
      <w:r w:rsidRPr="00AA4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 (отдел муниципального контроля) – 443030, </w:t>
      </w: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Самара, ул. Урицкого, 21.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Почтовый адрес для направления документов и обращений юридических лиц и индивидуальных предпринимателей в уполномоченный орган: 443030, г. Самара, ул. Урицкого, 21.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Телефоны: +7 (846) 339-01-20, + 7 (846) 339-01-31, факс: + 7 (846) 339-01-11, 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Почтовый адрес для направления документов и обращений физических лиц (граждан) в уполномоченный орган: 443030, г. Самара,                                         ул. Г.С. Аксакова, 4.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Телефоны: + 7 (846) 339-01-30, + 7 (846) 339-01-39.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Официальный сайт уполномоченного органа </w:t>
      </w:r>
      <w:hyperlink r:id="rId9" w:history="1">
        <w:r w:rsidRPr="00AA459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http://www.zdsamara.ru/</w:t>
        </w:r>
      </w:hyperlink>
      <w:r w:rsidRPr="00AA459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Прием, информирование и консультирование граждан, индивидуальных предпринимателей и юридических лиц, их уполномоченных представителей осуществляется по адресу: 443030, г. Самара,                                      ул. Урицкого, 21. 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Телефон: +7 (846) 339-01-18.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График работы уполномоченного органа предусматривает прием и информирование граждан, индивидуальных предпринимателей и юридических лиц, их уполномоченных представителей, в том числе лиц, участвующих в проверке: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понедельник – четверг с 8:30 до 17:30, пятница с 8:30 до 16:30 с перерывом на обед с 12.30 до 13.18, суббота, воскресенье - выходные дни.</w:t>
      </w:r>
    </w:p>
    <w:p w:rsidR="00AA459B" w:rsidRPr="00AA459B" w:rsidRDefault="00AA459B" w:rsidP="00AA45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Электронный адрес для обращений в уполномоченный орган посредством e-mail: </w:t>
      </w:r>
      <w:hyperlink r:id="rId10" w:history="1">
        <w:r w:rsidRPr="00AA459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admgel</w:t>
        </w:r>
        <w:r w:rsidRPr="00AA459B">
          <w:rPr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AA459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samadm</w:t>
        </w:r>
        <w:r w:rsidRPr="00AA459B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AA459B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AA45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 1.2. Дополнить Положение разделом 4.1. следующего содержания: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 «4.1. Оценка результативности и эффективности деятельности контрольных (надзорных) органов» следующего содержания: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4.1.1.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ab/>
        <w:t>4.1.2.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осуществлении муниципального </w:t>
      </w: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контроля в сфере  благоустройства устанавливаются следующие ключевые показатели и их целевые значения: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2464"/>
      </w:tblGrid>
      <w:tr w:rsidR="00AA459B" w:rsidRPr="00AA459B" w:rsidTr="00AA459B">
        <w:tc>
          <w:tcPr>
            <w:tcW w:w="7338" w:type="dxa"/>
          </w:tcPr>
          <w:p w:rsidR="00AA459B" w:rsidRPr="00AA459B" w:rsidRDefault="00AA459B" w:rsidP="00AA45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464" w:type="dxa"/>
          </w:tcPr>
          <w:p w:rsidR="00AA459B" w:rsidRPr="00AA459B" w:rsidRDefault="00AA459B" w:rsidP="00AA45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значения </w:t>
            </w:r>
          </w:p>
          <w:p w:rsidR="00AA459B" w:rsidRPr="00AA459B" w:rsidRDefault="00AA459B" w:rsidP="00AA45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AA459B" w:rsidRPr="00AA459B" w:rsidTr="00AA459B">
        <w:tc>
          <w:tcPr>
            <w:tcW w:w="7338" w:type="dxa"/>
          </w:tcPr>
          <w:p w:rsidR="00AA459B" w:rsidRPr="00AA459B" w:rsidRDefault="00AA459B" w:rsidP="00AA45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физических лиц, которым причинен вред жизни и здоровью относительно общего количества физических лиц, проживающих на территории Железнодорожного внутригородского района городского округа Самара по состоянию на 01 января отчетного года по данным органов статистики</w:t>
            </w:r>
          </w:p>
        </w:tc>
        <w:tc>
          <w:tcPr>
            <w:tcW w:w="2464" w:type="dxa"/>
          </w:tcPr>
          <w:p w:rsidR="00AA459B" w:rsidRPr="00AA459B" w:rsidRDefault="00AA459B" w:rsidP="00AA45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AA459B" w:rsidRPr="00AA459B" w:rsidTr="00AA459B">
        <w:tc>
          <w:tcPr>
            <w:tcW w:w="7338" w:type="dxa"/>
          </w:tcPr>
          <w:p w:rsidR="00AA459B" w:rsidRPr="00AA459B" w:rsidRDefault="00AA459B" w:rsidP="00AA459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случаев причинения имущественного вреда (ущерба) в результате нарушения обязательных требований относительно общего количества лиц, проживающих (зарегистрированных) на территории Железнодорожного внутригородского района городского округа Самара</w:t>
            </w:r>
          </w:p>
        </w:tc>
        <w:tc>
          <w:tcPr>
            <w:tcW w:w="2464" w:type="dxa"/>
          </w:tcPr>
          <w:p w:rsidR="00AA459B" w:rsidRPr="00AA459B" w:rsidRDefault="00AA459B" w:rsidP="00AA459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45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AA459B" w:rsidRDefault="00AA459B" w:rsidP="00AA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4.1.3. При осуществлении муниципального контроля в сфере благоустройства устанавливаются следующие индикативные показатели: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1)  количество внеплановых контрольных (надзорных) мероприятий, проведенных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общее количество контрольных (надзорных) мероприятий с взаимодействием, проведенных за отчетный период; 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3) 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4)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5) количество обязательных профилактических визитов, проведенных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6) количество предостережений о недопустимости нарушения обязательных требований, объявленных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7)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A459B" w:rsidRPr="00AA459B" w:rsidRDefault="00AA459B" w:rsidP="00AA459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8) 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9) сумма административных штрафов, наложенных по результатам контрольных (надзорных) мероприятий,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10)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A459B" w:rsidRPr="00AA459B" w:rsidRDefault="00AA459B" w:rsidP="00AA459B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12)  общее количество учтенных объектов контроля на конец отчетного периода;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13)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14)  количество учтенных контролируемых лиц на конец отчетного периода;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17)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18)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4.1.4. Уполномоченный орган ежегодно осуществляет подготовку доклада о муниципальном контроле в сфере благоустройства в порядке, установленном Правительством РФ, с указанием сведений о достижении ключевых показателей и сведений об индикативных показателях муниципального контроля в сфере благоустройства.». 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1.3. Пункт 5.1.1 раздела 5 Положения изложить  в следующей редакции:</w:t>
      </w: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9B">
        <w:rPr>
          <w:rFonts w:ascii="Times New Roman" w:hAnsi="Times New Roman"/>
          <w:sz w:val="28"/>
          <w:szCs w:val="28"/>
        </w:rPr>
        <w:t xml:space="preserve">          «5.1.1. Досудебный порядок подачи жалоб на решения уполномоченного органа, действия (бездействия) его должностных лиц при осуществлении муниципального контроля в сфере благоустройства не подлежит применению до 1 января 2023 года.</w:t>
      </w:r>
    </w:p>
    <w:p w:rsidR="00AA459B" w:rsidRPr="00AA459B" w:rsidRDefault="00AA459B" w:rsidP="00AA4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59B">
        <w:rPr>
          <w:rFonts w:ascii="Times New Roman" w:hAnsi="Times New Roman"/>
          <w:sz w:val="28"/>
          <w:szCs w:val="28"/>
        </w:rPr>
        <w:t xml:space="preserve"> С 1 января 2023 года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 </w:t>
      </w:r>
    </w:p>
    <w:p w:rsidR="00AA459B" w:rsidRPr="00AA459B" w:rsidRDefault="00AA459B" w:rsidP="00AA459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59B">
        <w:rPr>
          <w:rFonts w:ascii="Times New Roman" w:hAnsi="Times New Roman"/>
          <w:sz w:val="28"/>
          <w:szCs w:val="28"/>
        </w:rPr>
        <w:t xml:space="preserve">         1.4.  По тексту Положения после слов «Администрации городского округа Самара во вкладке «Железнодорожный район» в разделе «Муниципальный контроль» дополнить словами «, а также Администрации Железнодорожного внутригородского района городского округа Самара в разделе «Контрольно-надзорная деятельность».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1 января 2022 года, за исключением пункта 1.2 настоящего Решения.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4.  Пункт 1.2 настоящего Решения вступает в силу с 1 марта 2022 года.</w:t>
      </w:r>
    </w:p>
    <w:p w:rsidR="00AA459B" w:rsidRPr="00AA459B" w:rsidRDefault="00AA459B" w:rsidP="00AA459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59B" w:rsidRPr="00AA459B" w:rsidRDefault="00AA459B" w:rsidP="00AA459B">
      <w:pPr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59B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Решения возложить на комитет по местному самоуправлению.</w:t>
      </w:r>
    </w:p>
    <w:p w:rsidR="00B11DEC" w:rsidRDefault="00B11DEC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1DEC" w:rsidRDefault="00B11DEC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1DEC" w:rsidRDefault="00B11DEC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11DEC" w:rsidRDefault="00B11DEC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1DEC" w:rsidRDefault="00B11DEC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CA647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p w:rsidR="006136FA" w:rsidRDefault="006136FA" w:rsidP="00CA647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45BE" w:rsidRPr="00F945BE" w:rsidRDefault="00F945BE" w:rsidP="00B11DE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color w:val="000000"/>
          <w:sz w:val="28"/>
          <w:szCs w:val="28"/>
        </w:rPr>
      </w:pPr>
      <w:r w:rsidRPr="00F945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sectPr w:rsidR="00F945BE" w:rsidRPr="00F945BE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2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7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A2E"/>
    <w:rsid w:val="001F0AA9"/>
    <w:rsid w:val="002344E1"/>
    <w:rsid w:val="0024136D"/>
    <w:rsid w:val="00241527"/>
    <w:rsid w:val="00246571"/>
    <w:rsid w:val="002B5F15"/>
    <w:rsid w:val="002B6C9F"/>
    <w:rsid w:val="002E6371"/>
    <w:rsid w:val="0041567B"/>
    <w:rsid w:val="00434BA9"/>
    <w:rsid w:val="00444ED5"/>
    <w:rsid w:val="004C2E05"/>
    <w:rsid w:val="004D59F6"/>
    <w:rsid w:val="005404A5"/>
    <w:rsid w:val="0054683A"/>
    <w:rsid w:val="005650BE"/>
    <w:rsid w:val="005664BA"/>
    <w:rsid w:val="005C27A1"/>
    <w:rsid w:val="005E7758"/>
    <w:rsid w:val="006136FA"/>
    <w:rsid w:val="0062546F"/>
    <w:rsid w:val="00631F5C"/>
    <w:rsid w:val="006428DD"/>
    <w:rsid w:val="006445F7"/>
    <w:rsid w:val="006C24F8"/>
    <w:rsid w:val="006D6FC9"/>
    <w:rsid w:val="00702314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E1146"/>
    <w:rsid w:val="008F38F4"/>
    <w:rsid w:val="0093364D"/>
    <w:rsid w:val="009D1099"/>
    <w:rsid w:val="00A12F68"/>
    <w:rsid w:val="00A301BF"/>
    <w:rsid w:val="00A367DE"/>
    <w:rsid w:val="00A67FB3"/>
    <w:rsid w:val="00A754AC"/>
    <w:rsid w:val="00A8796D"/>
    <w:rsid w:val="00AA459B"/>
    <w:rsid w:val="00AB4E33"/>
    <w:rsid w:val="00AE5567"/>
    <w:rsid w:val="00B11DEC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21E4"/>
    <w:rsid w:val="00DF737E"/>
    <w:rsid w:val="00DF7DC8"/>
    <w:rsid w:val="00E00352"/>
    <w:rsid w:val="00E317A2"/>
    <w:rsid w:val="00E76E4C"/>
    <w:rsid w:val="00EA54CF"/>
    <w:rsid w:val="00EC5A6D"/>
    <w:rsid w:val="00F2029D"/>
    <w:rsid w:val="00F71176"/>
    <w:rsid w:val="00F93BFA"/>
    <w:rsid w:val="00F945BE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D6FC9"/>
    <w:rPr>
      <w:color w:val="0000FF"/>
      <w:u w:val="single"/>
    </w:rPr>
  </w:style>
  <w:style w:type="table" w:styleId="ab">
    <w:name w:val="Table Grid"/>
    <w:basedOn w:val="a1"/>
    <w:uiPriority w:val="59"/>
    <w:rsid w:val="00AA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gel@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DB00-0775-4E43-A041-CF82BE3F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64</cp:revision>
  <cp:lastPrinted>2020-01-27T10:45:00Z</cp:lastPrinted>
  <dcterms:created xsi:type="dcterms:W3CDTF">2016-03-22T05:49:00Z</dcterms:created>
  <dcterms:modified xsi:type="dcterms:W3CDTF">2021-11-30T06:54:00Z</dcterms:modified>
</cp:coreProperties>
</file>